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PEER COUNSELOR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21-1019.00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Working with Others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Communicates Effectively b. Builds Positive Relationship</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Strengths Assessment and Recovery Needs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Gathers information using multiple sources b. Assesses and Identifies strengths and needs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Planning Services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Supports participant &amp; identified natural supports family member decision-making in developing the plan of care b. Celebrates goals when achieved and supports new recovery goals and objectives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participant in developing personal plans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Identifies individual goals and need for plans b. Understands the difference between and the specific need for a Wellness Recovery Action Plan, advance directive, relapse prevention plan, no harm contract and a goal plan for recovery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Services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Coordinates care in coordination with team b. Maintains safe working environment and working relationships (emotional, physical, etc. safety) c. Awareness of trauma informed practices d. Identifies and has awareness of crisis intervention and de-escalation techniques in peer settings Crises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Linking to Community Resources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Identifies recommended and appropriate resources b. Supports participant &amp; family decision-making in selecting resources c. Connects individuals and families to community resources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Community Education &amp; Advocacy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Provides education b. Participates in prevention activities c. Provides advocacy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Cultural Competency &amp; Individualized Care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Delivers culturally relevant services b. Obtains consultation on cultural issues c. Understands multi-culturalism and how it relates to resiliency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Completes required documentation on time b. Responds to participant requests to view records c. Understands RCW’s and WAC’s around documentation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and Ethical Conduct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Fulfills responsibilities and commitments b. Practices ethically c. Obtains participant consent d. Maintains confidentiality and privacy e. Manages stress and maintains personal health</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Seeks opportunities to improve knowledge, skills and abilities b. Uses supervision effectively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PEER COUNSELOR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21-1019.00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Supervised field trips, Sponsor approved training seminars (specify) Various JATC approved seminars including, but not limited to, First Aid/CPR, blood borne pathogens, etc., Sponsor approved online or distance learning courses (specify) Various JATC approved online course,  State Community/Technical college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