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Licensed Practical Nurse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Nursing Process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Shall perform standardized, focused nursing assessments in the care of clients by: collecting, reporting, and recording objective and subjective data in an accurate and timely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Data collection includes: observation about the condition or change in condition of the client; and signs and symptoms of deviation from normal health status.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Shall participate in the development of the strategy of care in collaboration with other members of the health team by: providing data; identifying priorities; setting realistic and measurable goals; identifying measures to maintain comfort, support human functions and responses, and maintain an environment conducive to well-being; and providing health teaching.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Shall participate in the implementation of the strategy of care by: providing nursing care for clients under the supervision of licensed health care providers as per Montana Statute or Rule; providing an environment conducive to safety and health; and documenting and otherwise communicating nursing interventions and client responses to care with other members of the health care team via written, electronic, or verbal mechanisms of communication, as appropriate, based on client evaluations.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Shall contribute to the modification of the strategy of care.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Health Team Responsibilities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Have knowledge of the statutes and rules governing nursing and function within the legal boundaries of practical nursing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Accept responsibility for individual nursing actions and competence;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Function under the supervision of licensed health care providers as per Montana Statute or Rule;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Consult with and seek guidance from registered nurses and/or other health team members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Function as a member of the health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Contribute to the formulation, interpretation, implementation, and evaluation of the objectives and policies related to practical nursing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the evaluation of nursing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unsafe nursing practice to the board and unsafe practice conditions to recognized authorities;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the practice of nursing by unlicensed individuals to the board;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practice without discrimination on the basis of age, race, religion, sex, sexual preference, national origin, or handicap;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the dignity and rights of clients regardless of social or economic status, personal attributes, or nature of health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the client's right to privacy by protecting confidential information, unless obligated by law to disclose such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the property of clients, family, significant others, and the employer; 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written, established policies and procedures of the health care organization that are consistent with this chapter.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Cosmetic Procedures Role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Has proper training and on-going competency and while under direct supervision of a physician or APRN may perform procedures using following technologies: lasers; intense pulsed light sources; microwave energy; radio frequency; electrical impulse; and dermatologic technologies that cut or alter living tissue.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Has the proper training and on-going competency and while under the direct supervision of a physician or APRN may inject or insert the following: botulism toxins, commonly referred to as "botox"; natural and synthetic collagens; silicone; sclerotherapy agents; or natural or synthetic filler materials.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Intravenous (IV) Therapy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Prior to performing IV therapy, the practical nurse must have successfully completed a course of study that includes a process for evaluation, demonstration, and documentation of the knowledge, skills, and abilities required for safe administration of IV therapy procedures. Education and competency may be obtained through a board-approved, prelicensure nursing education program or a course of study utilizing appropriate education methods and qualified faculty.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practical nurse must know the state regulations regarding IV therapy as it applies to practical nurses.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Licensed Practical Nurse</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29-2061.00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0837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Human Biology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Human Biology Lab</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Psychology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College Writing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 for Allied Health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Nursing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Nursing Lab</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Nursing Pharmacology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Nursing Pharmacology Lab</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Gerontology and Community Nursing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Gerontology/Community Nursing Clinical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Adult Health Nursing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Adult Health Nursing Clinical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Nursing Care of Women and Children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Nursing Care Women &amp; Children Clinical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Leadership Issues for Practical Nurses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Leadership Issues for PN, Clinical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