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Health IT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Onboarding Training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classroom training by Senior Consultants in common ambulatory practice operations, processes and workflows, introduction to practice analysis, benchmarking tools and dashboard tools, introduction to standard operating policies for the ambulatory practice setting and introduction to common remedial recommendations. Successfully complete basic tests.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Data Analysis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conduct practice interviews, collect operational and financial data and use analytical tools and benchmarking tools to create standard practice operational profiles and identify priority areas for on-site assessment and further evaluation.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participate in on-site practice process assessments and operational evaluations. Prepare written reports</w:t>
              <w:br/>
              <w:t>summarizing data analysis and process assessment results and recommending remedial actions.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Remediation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 with development of recommendations and remediation plans. Assist in training practices on remediation</w:t>
              <w:br/>
              <w:t>and implementing dashboards for tracking performance. Evaluate quarterly follow up reports and evaluate compliance with remediation. Develop recommendations to address variances.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Written Report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research and compose either a whitepaper recommending an improvement to practice operations derived from an</w:t>
              <w:br/>
              <w:t>actual experience or a recommended supplement to future Junior Consultant. Onboarding training also derived from an actual experience.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Health IT Specialist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15-1151.00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2024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Healthcare and Public Health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Terminology in Healthcare and the Public Health Setting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Information and Computer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Health Workflow Process Analysis and Redesign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Quality Improvement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Management Information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Working with Health IT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Networking and Health Information Exchange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Configuring Electronic Health Records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 Topics Course on Vendor Specific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and Maintenance of Health IT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Planning, Management and Leadership for Health IT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Project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Working in Teams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Professionalism/Customer Services in the Health Environment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Usability and Human Factors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430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