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STAMPING PRESS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0928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comply with federal, provincial, or municipal workplace legislation and regulations, including the OSHA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personal grooming requirements in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personal protective equipment including eye, ear, hand, respiratory, body and foot protection, in accordance with applicable safety legislation, government regulations,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ensuring that the workplace is clean, organized, and free of obstructions, spills, or fire hazard and that materials and equipment are cleaned and sorted in designated areas after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use of hand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way to clean machines and floor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operation of lifting equipment including hoists, overhead cranes, chain falls, lift pins, eye bolts, slings, cables, and chains, to remove, transport, and store materials, parts, or equipment in compliance with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all pinch points on primary and supportive machine tools and the proper placements of guards as part of a pre- operational check of the equipment in compliance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both emergency and standard shut down of all required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fire safety procedures including: determining the potential for fire posed by the work being performed; locating and assessing the severity of the fire; selecting and operating fire extinguishing equipment; suppressing minor fires; activating alarms; following fire evacuation plans; and, reportingincidents; in accordance with applicable Acts, Regulations, Legislation, and Codes, manufacturers’ specifications, and company standards or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fuel source and select the corresponding fire extinguisher.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the impact of climatic extremes of wind, temperature, or precipitation on job functions, to ensure personal safety and efficient job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around energy sources by observing limits and procedures for approaching energy sources to ensure personal safety and protection of equipment in accordance with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arc flash safety requirements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report injuries to a supervisor or safety personnel promptly, ensuring that the injured person is attended to and information is reported precisely and accurately describing how the incident occurred, so that future recurrence of similar accidents is prevented.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Hazardous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and store hazardous materials as assigned, while adhering to safe practices in accordance with OSHA and EPA requirements and guidelines, including completing the required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identify and recognize hazardous situations and apply proper procedures (includes following guidelines to prevent spread of blood borne pathogens and spill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locate a material Safety Data Sheet (SDS) and describe how you interpret the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Applied Mathematics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fractions to decimals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dimensions to metric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calculate a missing angle from a triangle.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solve missing measurements in right angles.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Measuring and Improving Work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record points on a control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 process that is in or out of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towards the mean during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 production problem, propose a remedy, having been given the authorization to implement the process improvement and carry it 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Stamping Press Operations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adherence to performing lock-out/tag-out procedures and energy isolation for assigned machinery in accordance with facility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the Point of Operation during stamping operation safeguarding.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keep a safe distance from stamping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press controls and their purpose.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clean and organize the work area, eliminating any safety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a maintenance checklist, inspection of the press and the components prior to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fill and refill the lubrication reservoirs as necessary with appropriate lubricants and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inspect and power up all safety devices and auxiliary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operate coil handling equipment; lifting devices (crane, hoist, forklift), lifting tools (slings, c-hooks, coil grabs, coil lifters).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adverse material conditions (excessive coil set, camber, crossbow, coil break, edge wave) and their effects on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align and load a stock material reel into the feed.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adjust feeders to present stock to each tooling station at an appropriate 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adjust cradles and payout reels to provide material to other auxiliary devices or tooling.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adjust conveyors, magazines, take-up reels, and unloaders.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monitor loop control devices and troubleshoot faults.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walk or inch the strip through the die, manually or inch or job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monitor stamping operations to determining correct or incorrect operation (incorrect shearing, worn edges in die assembly, incorrect forming, burnishing, damaged/dull/worn punch and die, sharp dull/worn tooling).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adjust feeder.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segregate and recycle scrap material, in accordance with facility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reset the machine if E-stop is pressed.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ensure that sensor fields targets on the part, part feature, the object, surface, or in the tooling.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Problem Solving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tracing of defects to the originating section of their root cause.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cause mapping when performing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conduct a triage level of troubleshooting and communicate findings to maintenance technician.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Dimensional Measuring &amp; Gaging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install a piece part in a fixture gage and measure the part on the fixture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find tolerance limits using engineered drawing and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ensuring that all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Communications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as part of a team, contributing to the group’s effort to achieve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commit to the goals, norms, values, and customs of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choose behaviors and actions that best support the team and accomplishment of work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a group approach to identify problems and develop solutions based on group consensus.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elements of successful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bring others together to reconcile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conflicts maturely by exercising “give and take” to achieve positive results for all</w:t>
              <w:br/>
              <w:t>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reach formal or informal agreements that promote mutual goals and interests, and obtain commitment to those agreements from individuals or groups.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Developing Others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train others through best practices in on on-the-job training.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