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Glaziers</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Time</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47-2121.00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0221</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tc>
        <w:tc>
          <w:tcPr>
            <w:tcW w:w="1700" w:type="dxa"/>
            <w:tcBorders>
              <w:left w:val="nil"/>
              <w:bottom w:val="single" w:sz="4" w:space="0" w:color="auto"/>
            </w:tcBorders>
            <w:shd w:val="clear" w:color="auto" w:fill="DBDBDB"/>
            <w:vAlign w:val="center"/>
          </w:tcPr>
          <w:p w14:paraId="21111A73" w14:textId="283065FA" w:rsidR="00436512" w:rsidRDefault="007C4113" w:rsidP="000F0C66">
            <w:pPr>
              <w:jc w:val="center"/>
              <w:rPr>
                <w:rFonts w:ascii="Arial" w:hAnsi="Arial" w:cs="Arial"/>
                <w:bCs/>
                <w:sz w:val="18"/>
                <w:szCs w:val="18"/>
                <w:lang w:val="en-US"/>
              </w:rPr>
            </w:pPr>
            <w:r w:rsidRPr="00B62DCB">
              <w:rPr>
                <w:rFonts w:ascii="Arial" w:hAnsi="Arial" w:cs="Arial"/>
                <w:b/>
                <w:sz w:val="18"/>
                <w:szCs w:val="18"/>
                <w:lang w:val="en-US"/>
              </w:rPr>
              <w:t>OJT HRS</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TOOLS AND EQUIPMENT, SHOP TRAINING, SCAFFOLD, SAFETY MEASURES, FIRST AID, READING OF SPECIFICATIONS, AND FIELD BLUEPRINT READING.</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GLAZING, WOOD AND METAL SASH, TUBE DOORS, PARTITIONS, AND ALL OTHER TYPES OF OPENINGS WITH, BUT NOT LIMITED TO, PUTTY, MOLDINGS, RUBBER, PLASTIC, GASKET SETTINGS, SEALANTS, AND MASTICS.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300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SETTING ALL TYPES OF STORE FRONT, CURTAINWALL WINDOWALL, REVOLVING DOORS, PRESSUREWALL, RIBBON WINDOW SYSTEMS, STRUCTURAL GLAZING, AND SUSPENDED GLAZING INSTALLATIONS.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1.2K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SETTING ALL TYPES OF PLATE GLASS, PRISM GLASS, BEVELED GLASS, PROTECTIVE GLASS, GLASSWELD, PANELS, WINDOW GLASS, MIRRORS OF ALL TYPES, WIRE GLASS, RIBBED GLASS, HEAT ABSORBING GLASS, GROUND GLASS, COLORED GLASS, FIGURED GLASS, VITROLITE, CARRATA GLASS, AND ALL OTHER TYPES OF OPAQUE GLASS, GLASS CHALKBOARD, TEMPERED GLASS AND ALL TYPES OF INSULATING GLASS UNITS WHICH COULD BE USED AS A SOLAR ENERGY SYSTEM, WINDOW PANELS, AND SIMILAR TYPES OF INSULATED GLASS, ALL PLASTIC OR OTHER SIMILAR MATERIALS WHEN USED IN PLACE OF GLASS, TO BE SET OR GLAZED WITH PUTTY, MOLDING, RUBBER, GASKET SETTINGS, SEALANTS, AND ALL TYPES OF MASTICS IN WOOD, IRON, ALUMINUM OR SHEET METAL SASH, SKYLIGHT, DOORS, FRAMES, STONE, WALL CASE, SHOWCASES, BOOKCASES, SIDEBOARDS, PARTITIONS, AND FIXTURES, TC., TEMPORARY OR PERMANENT, ON OR FOR BUILDINGS IN THE COURSE OF CONSTRUCTION OR REPAIR OR REPLACEMENT.</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DOORS, FRAMES, AND TUBE WORK, PREFABRICATED UNITS, FABRICATED UNITS, FABRICATION IN SHOP OR ON THE JOB SITE, SETTING SHOWER DOORS AND TUB ENCLOSURES.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SETTING ALL TYPES OF MULTIPLE GLAZED UNITS.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300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SETTING ALL TYPES OF AUTOMATIC DOORS, HINGES, ETC.</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HANDLING AND USE OF ALL PRODUCTS ASSOCIATED WITH GLASS INDUSTRY.</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REPLACEMENT OF ANY AND ALL OF THE ABOVE NAMED MATERIALS.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ALL TYPES OF EQUIPMENT NEEDED OR USED TO INSTALL OR REPLACE THE ABOVE NAMED MATERIALS.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ALL TYPES OF MISCELLANEOUS GLAZING.</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6K</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p w14:paraId="5567BE57" w14:textId="5FFCEF58" w:rsidR="00D95553" w:rsidRDefault="00D95553">
      <w:pPr>
        <w:rPr>
          <w:rFonts w:ascii="Arial" w:hAnsi="Arial" w:cs="Arial"/>
          <w:bCs/>
          <w:lang w:val="en-US"/>
        </w:rPr>
      </w:pPr>
      <w:r>
        <w:rPr>
          <w:rFonts w:ascii="Arial" w:hAnsi="Arial" w:cs="Arial"/>
          <w:bCs/>
          <w:lang w:val="en-US"/>
        </w:rPr>
        <w:br w:type="page"/>
      </w:r>
    </w:p>
    <w:p w14:paraId="34155C9A" w14:textId="77777777" w:rsidR="0009659D" w:rsidRPr="00F523C9" w:rsidRDefault="0009659D" w:rsidP="0009659D">
      <w:pPr>
        <w:rPr>
          <w:rFonts w:ascii="Arial" w:hAnsi="Arial" w:cs="Arial"/>
          <w:bCs/>
          <w:lang w:val="en-US"/>
        </w:rPr>
        <w:sectPr w:rsidR="0009659D" w:rsidRPr="00F523C9" w:rsidSect="005C5736">
          <w:type w:val="continuous"/>
          <w:pgSz w:w="12240" w:h="15840"/>
          <w:pgMar w:top="1440" w:right="1440" w:bottom="1440" w:left="1440" w:header="708" w:footer="708" w:gutter="0"/>
          <w:cols w:space="708"/>
          <w:docGrid w:linePitch="360"/>
        </w:sectPr>
      </w:pPr>
    </w:p>
    <w:p w14:paraId="328E5BE2" w14:textId="77777777" w:rsidR="0009659D" w:rsidRPr="00F523C9" w:rsidRDefault="0009659D" w:rsidP="0009659D">
      <w:pPr>
        <w:rPr>
          <w:rFonts w:ascii="Arial" w:hAnsi="Arial" w:cs="Arial"/>
          <w:b/>
          <w:bCs/>
          <w:noProof/>
          <w:sz w:val="36"/>
          <w:szCs w:val="36"/>
        </w:rPr>
      </w:pPr>
      <w:r w:rsidRPr="00F523C9">
        <w:rPr>
          <w:rFonts w:ascii="Arial" w:hAnsi="Arial" w:cs="Arial"/>
          <w:b/>
          <w:bCs/>
          <w:noProof/>
          <w:sz w:val="36"/>
          <w:szCs w:val="36"/>
        </w:rPr>
        <w:t>Glaziers</w:t>
      </w:r>
    </w:p>
    <w:p w14:paraId="1A67C213" w14:textId="77777777" w:rsidR="0009659D" w:rsidRPr="00F523C9" w:rsidRDefault="0009659D" w:rsidP="0009659D">
      <w:pPr>
        <w:rPr>
          <w:rFonts w:ascii="Arial" w:hAnsi="Arial" w:cs="Arial"/>
          <w:noProof/>
          <w:sz w:val="36"/>
          <w:szCs w:val="36"/>
        </w:rPr>
      </w:pPr>
    </w:p>
    <w:p w14:paraId="198D05A2"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APPRENTICESHIP APPROACH</w:t>
      </w:r>
    </w:p>
    <w:p w14:paraId="521DCA34" w14:textId="77777777" w:rsidR="0009659D" w:rsidRPr="00F523C9" w:rsidRDefault="0009659D" w:rsidP="0009659D">
      <w:pPr>
        <w:rPr>
          <w:rFonts w:ascii="Arial" w:hAnsi="Arial" w:cs="Arial"/>
          <w:bCs/>
          <w:lang w:val="en-US"/>
        </w:rPr>
      </w:pPr>
      <w:r w:rsidRPr="00F523C9">
        <w:rPr>
          <w:rFonts w:ascii="Arial" w:hAnsi="Arial" w:cs="Arial"/>
          <w:bCs/>
          <w:noProof/>
          <w:lang w:val="en-US"/>
        </w:rPr>
        <w:t>Time</w:t>
      </w:r>
    </w:p>
    <w:p w14:paraId="5BE30920" w14:textId="77777777" w:rsidR="0009659D" w:rsidRPr="00D67F69" w:rsidRDefault="0009659D" w:rsidP="0009659D">
      <w:pPr>
        <w:rPr>
          <w:rFonts w:ascii="Arial" w:hAnsi="Arial" w:cs="Arial"/>
          <w:b/>
          <w:sz w:val="18"/>
          <w:szCs w:val="18"/>
          <w:lang w:val="en-US"/>
        </w:rPr>
      </w:pPr>
      <w:r w:rsidRPr="00D67F69">
        <w:rPr>
          <w:rFonts w:ascii="Arial" w:hAnsi="Arial" w:cs="Arial"/>
          <w:b/>
          <w:sz w:val="18"/>
          <w:szCs w:val="18"/>
          <w:lang w:val="en-US"/>
        </w:rPr>
        <w:t>O*NET-SOC CODE</w:t>
      </w:r>
    </w:p>
    <w:p w14:paraId="2FE20178" w14:textId="77777777" w:rsidR="0009659D" w:rsidRPr="006074B3" w:rsidRDefault="0009659D" w:rsidP="0009659D">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47-2121.00</w:t>
      </w:r>
    </w:p>
    <w:p w14:paraId="0C5F2134" w14:textId="77777777" w:rsidR="0009659D" w:rsidRPr="00BD2F4D" w:rsidRDefault="0009659D" w:rsidP="0009659D">
      <w:pPr>
        <w:rPr>
          <w:rFonts w:ascii="Arial" w:hAnsi="Arial" w:cs="Arial"/>
          <w:color w:val="000000" w:themeColor="text1"/>
          <w:sz w:val="18"/>
          <w:szCs w:val="18"/>
        </w:rPr>
      </w:pPr>
    </w:p>
    <w:p w14:paraId="38897BBE"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RAPIDS CODE</w:t>
      </w:r>
    </w:p>
    <w:p w14:paraId="0D5CF62D" w14:textId="77777777" w:rsidR="0009659D" w:rsidRPr="00F523C9" w:rsidRDefault="0009659D" w:rsidP="0009659D">
      <w:pPr>
        <w:rPr>
          <w:rFonts w:ascii="Arial" w:hAnsi="Arial" w:cs="Arial"/>
          <w:sz w:val="18"/>
          <w:szCs w:val="18"/>
        </w:rPr>
      </w:pPr>
      <w:r>
        <w:rPr>
          <w:rFonts w:ascii="Arial" w:hAnsi="Arial" w:cs="Arial"/>
          <w:noProof/>
          <w:sz w:val="18"/>
          <w:szCs w:val="18"/>
        </w:rPr>
        <w:t>0221</w:t>
      </w:r>
    </w:p>
    <w:p w14:paraId="425CE122" w14:textId="77777777" w:rsidR="0009659D" w:rsidRPr="006074B3" w:rsidRDefault="0009659D" w:rsidP="0009659D">
      <w:pPr>
        <w:rPr>
          <w:rFonts w:ascii="Arial" w:hAnsi="Arial" w:cs="Arial"/>
          <w:lang w:val="en-US"/>
        </w:rPr>
        <w:sectPr w:rsidR="0009659D"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0035A574" w14:textId="77777777" w:rsidR="0009659D" w:rsidRPr="00F523C9" w:rsidRDefault="0009659D" w:rsidP="0009659D">
      <w:pPr>
        <w:rPr>
          <w:rFonts w:ascii="Arial" w:hAnsi="Arial" w:cs="Arial"/>
        </w:rPr>
      </w:pPr>
    </w:p>
    <w:p w14:paraId="25190D49" w14:textId="77777777" w:rsidR="0009659D" w:rsidRPr="00F523C9" w:rsidRDefault="0009659D" w:rsidP="0009659D">
      <w:pPr>
        <w:pBdr>
          <w:bottom w:val="single" w:sz="2" w:space="1" w:color="B0B0B0"/>
        </w:pBdr>
        <w:rPr>
          <w:rFonts w:ascii="Arial" w:hAnsi="Arial" w:cs="Arial"/>
          <w:bCs/>
          <w:lang w:val="en-US"/>
        </w:rPr>
      </w:pPr>
    </w:p>
    <w:p w14:paraId="4D1F8190" w14:textId="77777777" w:rsidR="0009659D" w:rsidRPr="00F523C9" w:rsidRDefault="0009659D" w:rsidP="0009659D">
      <w:pPr>
        <w:rPr>
          <w:rFonts w:ascii="Arial" w:hAnsi="Arial" w:cs="Arial"/>
          <w:bCs/>
          <w:lang w:val="en-US"/>
        </w:rPr>
      </w:pPr>
    </w:p>
    <w:p w14:paraId="0576FF0E" w14:textId="77777777" w:rsidR="007D0A6A" w:rsidRDefault="007D0A6A">
      <w:pPr>
        <w:rPr>
          <w:rFonts w:ascii="Arial" w:hAnsi="Arial" w:cs="Arial"/>
          <w:bCs/>
          <w:lang w:val="en-US"/>
        </w:rPr>
      </w:pPr>
    </w:p>
    <w:tbl>
      <w:tblPr>
        <w:tblStyle w:val="TableGrid"/>
        <w:tblW w:w="9351" w:type="dxa"/>
        <w:tblLayout w:type="fixed"/>
        <w:tblCellMar>
          <w:left w:w="170" w:type="dxa"/>
          <w:right w:w="170" w:type="dxa"/>
        </w:tblCellMar>
        <w:tblLook w:val="04A0" w:firstRow="1" w:lastRow="0" w:firstColumn="1" w:lastColumn="0" w:noHBand="0" w:noVBand="1"/>
      </w:tblPr>
      <w:tblGrid>
        <w:gridCol w:w="5949"/>
        <w:gridCol w:w="3402"/>
      </w:tblGrid>
      <w:tr w:rsidR="000F0C66" w14:paraId="73972F45" w14:textId="77777777" w:rsidTr="00876C96">
        <w:tc>
          <w:tcPr>
            <w:tcW w:w="5949" w:type="dxa"/>
            <w:shd w:val="clear" w:color="auto" w:fill="DBDBDB"/>
            <w:tcMar>
              <w:top w:w="142" w:type="dxa"/>
              <w:bottom w:w="142" w:type="dxa"/>
            </w:tcMar>
          </w:tcPr>
          <w:p w14:paraId="0FCEB622" w14:textId="326C9748" w:rsidR="000F0C66" w:rsidRPr="007D0A6A" w:rsidRDefault="000F0C66" w:rsidP="007F58D5">
            <w:pPr>
              <w:rPr>
                <w:rFonts w:ascii="Arial" w:hAnsi="Arial" w:cs="Arial"/>
                <w:bCs/>
                <w:sz w:val="28"/>
                <w:szCs w:val="28"/>
                <w:lang w:val="pt-BR"/>
              </w:rPr>
            </w:pPr>
            <w:proofErr w:type="spellStart"/>
            <w:r>
              <w:rPr>
                <w:rFonts w:ascii="Arial" w:hAnsi="Arial" w:cs="Arial"/>
                <w:sz w:val="28"/>
                <w:szCs w:val="28"/>
                <w:lang w:val="pt-BR"/>
              </w:rPr>
              <w:t>Related</w:t>
            </w:r>
            <w:proofErr w:type="spellEnd"/>
            <w:r>
              <w:rPr>
                <w:rFonts w:ascii="Arial" w:hAnsi="Arial" w:cs="Arial"/>
                <w:sz w:val="28"/>
                <w:szCs w:val="28"/>
                <w:lang w:val="pt-BR"/>
              </w:rPr>
              <w:t xml:space="preserve"> </w:t>
            </w:r>
            <w:proofErr w:type="spellStart"/>
            <w:r>
              <w:rPr>
                <w:rFonts w:ascii="Arial" w:hAnsi="Arial" w:cs="Arial"/>
                <w:sz w:val="28"/>
                <w:szCs w:val="28"/>
                <w:lang w:val="pt-BR"/>
              </w:rPr>
              <w:t>Instruction</w:t>
            </w:r>
            <w:proofErr w:type="spellEnd"/>
            <w:r>
              <w:rPr>
                <w:rFonts w:ascii="Arial" w:hAnsi="Arial" w:cs="Arial"/>
                <w:sz w:val="28"/>
                <w:szCs w:val="28"/>
                <w:lang w:val="pt-BR"/>
              </w:rPr>
              <w:t xml:space="preserve"> Online</w:t>
            </w:r>
          </w:p>
        </w:tc>
        <w:tc>
          <w:tcPr>
            <w:tcW w:w="3402" w:type="dxa"/>
            <w:tcBorders>
              <w:left w:val="nil"/>
            </w:tcBorders>
            <w:shd w:val="clear" w:color="auto" w:fill="DBDBDB"/>
            <w:vAlign w:val="center"/>
          </w:tcPr>
          <w:p w14:paraId="6630A783" w14:textId="4A890D80" w:rsidR="000F0C66" w:rsidRPr="00B62DCB" w:rsidRDefault="000F0C66" w:rsidP="000F0C66">
            <w:pPr>
              <w:jc w:val="right"/>
              <w:rPr>
                <w:rFonts w:ascii="Arial" w:hAnsi="Arial" w:cs="Arial"/>
                <w:b/>
                <w:sz w:val="18"/>
                <w:szCs w:val="18"/>
                <w:lang w:val="en-US"/>
              </w:rPr>
            </w:pPr>
            <w:r w:rsidRPr="00B62DCB">
              <w:rPr>
                <w:rFonts w:ascii="Arial" w:hAnsi="Arial" w:cs="Arial"/>
                <w:b/>
                <w:sz w:val="18"/>
                <w:szCs w:val="18"/>
                <w:lang w:val="en-US"/>
              </w:rPr>
              <w:t>RSI HRS</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FIRST YEAR - SAFETY AND HEALTH TRAINING</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The committee shall instruct the apprentices in safe and healthful work practices and shall insure  that the apprentices are trained in facilities and other environments that are in compliance with either the occupational safety and health standards promulgated by the secretary of labor under public law 91­596, dated December 29, 1970, or state standards that have been found to be at least as effective as the federal standards.</w:t>
              <w:br/>
              <w:t>SEMESTER ONE</w:t>
              <w:br/>
              <w:t>1. BASIC MATHEMATICS AND MEASUREMENT</w:t>
              <w:br/>
              <w:t>2. FRACTIONS, DECIMALS, PERCENTS AND ANGLES PART I</w:t>
              <w:br/>
              <w:t>3. FRACTIONS, DECIMALS, PERCENTS AND ANGLES PART II</w:t>
              <w:br/>
              <w:t>4. RIGGING AND HOISTING APPLICATION / HAND SIGNALS </w:t>
              <w:br/>
              <w:t>5. RIGGING AND HOISTING ­ THE BASICS </w:t>
              <w:br/>
              <w:t>6. SCAFFOLDING </w:t>
              <w:br/>
              <w:t>7. SAFE WORK PRACTICES ­ PART I (HEALTH AND SAFETY TRAINING) </w:t>
              <w:br/>
              <w:t>8. SAFE WORK PRACTICES ­ PART II (HEALTH AND SAFETY TRAINING) </w:t>
              <w:br/>
              <w:t>9. SAFETY GLAZING CODES </w:t>
              <w:br/>
              <w:t>10. SWING STAGE (HEALTH AND SAFETY TRAINING) </w:t>
              <w:br/>
              <w:t>11. SOLVENTS AND HAZARDOUS GLAZING MATERIALS (HEALTH ANDSAFETY TRAINING) </w:t>
              <w:br/>
              <w:t>12. MID­TERM EXAM SEMESTER ONE</w:t>
              <w:br/>
              <w:t>SEMESTER TWO</w:t>
              <w:br/>
              <w:t>1. SAFETY AND ELECTRICAL INSTRUCTIONS FOR POWER TOOLS (HEALTH</w:t>
              <w:br/>
              <w:t>AND</w:t>
              <w:br/>
              <w:t>2. SAFETY TRAINING) </w:t>
              <w:br/>
              <w:t>3. SHOP MACHINERY SAFETY (HEALTH AND SAFETY TRAINING) </w:t>
              <w:br/>
              <w:t>4. TRANSITS AND LEVELING INSTRUMENTS </w:t>
              <w:br/>
              <w:t>5. USING TRANSITS AND LEVELS </w:t>
              <w:br/>
              <w:t>6. POWER TOOL SAFETY / PART I (HEALTH AND SAFETY TRAINING) </w:t>
              <w:br/>
              <w:t>7. HAND TOOLS </w:t>
              <w:br/>
              <w:t>8. POWER TOOL SAFETY ­ PART II (HEALTH AND SAFETY TRAINING) </w:t>
              <w:br/>
              <w:t>9. MAN LIFTING DEVICES (HEALTH AND SAFETY TRAINING) </w:t>
              <w:br/>
              <w:t>10. LADDER USE AND SAFETY (HEALTH AND SAFETY TRAINING) </w:t>
              <w:br/>
              <w:t>11. CLASS CUTTING &amp; FABRICATION ­ PART I</w:t>
              <w:br/>
              <w:t>12. CLASS CUTTING &amp; FABRICATION ­ PART II</w:t>
              <w:br/>
              <w:t>13. FINAL EXAM SEMESTER TWO</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140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SECOND YEAR</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SEMESTER THREE</w:t>
              <w:br/>
              <w:t>1. MIRRORS ­ JOB LAYOUT / MEASUREMENT</w:t>
              <w:br/>
              <w:t>2. MIRROR MOUNTING METHODS </w:t>
              <w:br/>
              <w:t>3. PLASTICS </w:t>
              <w:br/>
              <w:t>4. GLASS REPLACEMENT AND PUTTY GLAZING (HEALTH AND SAFETY TRAINING) </w:t>
              <w:br/>
              <w:t>5. INSULATED AND HIGH PERFORMANCE </w:t>
              <w:br/>
              <w:t>6. SECURITY GLAZING </w:t>
              <w:br/>
              <w:t>7. SPANDREL AND ARCHITECTURAL PANEL SYSTEMS </w:t>
              <w:br/>
              <w:t>8. SOLAR COLLECTORS / SKYLIGHTS </w:t>
              <w:br/>
              <w:t>9. AQUARIUMS / SHOWER DOORS / TUB ENCLOSURES / SHOWCASES </w:t>
              <w:br/>
              <w:t>10. ART (STAINED) GLASS </w:t>
              <w:br/>
              <w:t>11. AUTO GLASS </w:t>
              <w:br/>
              <w:t>12. MID­TERM EXAM SEMESTER THREE</w:t>
              <w:br/>
              <w:t>SEMESTER FOUR</w:t>
              <w:br/>
              <w:t>1. LOCKS AND BOLTS </w:t>
              <w:br/>
              <w:t>2. DOOR AND WINDOW ACCESSORIES </w:t>
              <w:br/>
              <w:t>3. DOOR HINGES, CLOSERS, PIVOTS, AND ACCESSORIES </w:t>
              <w:br/>
              <w:t>4. PANIC HARDWARE </w:t>
              <w:br/>
              <w:t>5. ANODIZED AND PAINTED FINISHES </w:t>
              <w:br/>
              <w:t>6. SETTING BLOCKS, SPACERS, TAPES, &amp; GASKETS </w:t>
              <w:br/>
              <w:t>7. ALUMINUM ENTRANCES </w:t>
              <w:br/>
              <w:t>8. REVOLVING DOORS </w:t>
              <w:br/>
              <w:t>9. INTRODUCTION TO SEALANTS </w:t>
              <w:br/>
              <w:t>10. SEALANTS ­ JOINT DESIGN AND SUBSTRATE PREPARATION</w:t>
              <w:br/>
              <w:t>11. SEALANT APPLICATION, FAILURE AND TESTING </w:t>
              <w:br/>
              <w:t>12. FINAL EXAM SEMESTER FOUR</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140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THIRD YEAR</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SEMESTER FIVE</w:t>
              <w:br/>
              <w:t>1. MATHEMATICS FOR THE GLAZING TRADE </w:t>
              <w:br/>
              <w:t>2. STRUCTURAL GLAZING </w:t>
              <w:br/>
              <w:t>3. RIBBON WINDOW SYSTEMS </w:t>
              <w:br/>
              <w:t>4. INTRODUCTION TO CURTAINWALL </w:t>
              <w:br/>
              <w:t>5. CURTAINWALL LAYOUT</w:t>
              <w:br/>
              <w:t>6. PRESSUREWALL </w:t>
              <w:br/>
              <w:t>7. HIGH RISE AND HIGH SPAN CURTAINWALL CONSTRUCTION</w:t>
              <w:br/>
              <w:t>8. SUSPENDED GLAZING </w:t>
              <w:br/>
              <w:t>9. FOREMAN TRAINING </w:t>
              <w:br/>
              <w:t>10. COMMUNICATION SKILLS </w:t>
              <w:br/>
              <w:t>11. INTRODUCTION TO ARCHITECTURAL / SHOP DRAWINGS </w:t>
              <w:br/>
              <w:t>12. MID­TERM EXAM SEMESTER FIVE</w:t>
              <w:br/>
              <w:t>SEMESTER SIX</w:t>
              <w:br/>
              <w:t>1. INTRODUCTION TO STOREFRONTS </w:t>
              <w:br/>
              <w:t>2. ARCHITECTURAL METAL </w:t>
              <w:br/>
              <w:t>3. MATERIALS LIST</w:t>
              <w:br/>
              <w:t>4. STOREFRONTS ­ PART I</w:t>
              <w:br/>
              <w:t>5. LAYOUT AND MEASUREMENT OF STOREFRONTS </w:t>
              <w:br/>
              <w:t>6. FABRICATING STOREFRONTS </w:t>
              <w:br/>
              <w:t>7. INSTALLING STOREFRONTS </w:t>
              <w:br/>
              <w:t>8. GLAZING AND SEALING STOREFRONTS </w:t>
              <w:br/>
              <w:t>9. STOREFRONTS ­ PART II</w:t>
              <w:br/>
              <w:t>10. INTRODUCTION TO BLUEPRINTS </w:t>
              <w:br/>
              <w:t>11. BASICS OF SKETCHING </w:t>
              <w:br/>
              <w:t>12. BLUEPRINT READING </w:t>
              <w:br/>
              <w:t>13. FINAL EXAM SEMESTER SIX</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140</w:t>
            </w:r>
          </w:p>
        </w:tc>
      </w:tr>
      <w:tr w:rsidR="000F0C66" w14:paraId="4668121E" w14:textId="77777777" w:rsidTr="0092718F">
        <w:tc>
          <w:tcPr>
            <w:tcW w:w="5949" w:type="dxa"/>
            <w:shd w:val="clear" w:color="auto" w:fill="auto"/>
            <w:tcMar>
              <w:top w:w="142" w:type="dxa"/>
              <w:bottom w:w="142" w:type="dxa"/>
            </w:tcMar>
            <w:vAlign w:val="center"/>
          </w:tcPr>
          <w:p w14:paraId="322228B3" w14:textId="1D80BBC5" w:rsidR="000F0C66" w:rsidRPr="000F0C66" w:rsidRDefault="000F0C66" w:rsidP="000F0C66">
            <w:pPr>
              <w:jc w:val="right"/>
              <w:rPr>
                <w:rFonts w:ascii="Arial" w:hAnsi="Arial" w:cs="Arial"/>
                <w:b/>
                <w:bCs/>
                <w:lang w:val="pt-BR"/>
              </w:rPr>
            </w:pPr>
            <w:proofErr w:type="spellStart"/>
            <w:r w:rsidRPr="000F0C66">
              <w:rPr>
                <w:rFonts w:ascii="Arial" w:hAnsi="Arial" w:cs="Arial"/>
                <w:b/>
                <w:bCs/>
                <w:lang w:val="pt-BR"/>
              </w:rPr>
              <w:t>Totals</w:t>
            </w:r>
            <w:proofErr w:type="spellEnd"/>
          </w:p>
        </w:tc>
        <w:tc>
          <w:tcPr>
            <w:tcW w:w="3402" w:type="dxa"/>
            <w:tcBorders>
              <w:left w:val="nil"/>
              <w:bottom w:val="single" w:sz="4" w:space="0" w:color="auto"/>
            </w:tcBorders>
            <w:shd w:val="clear" w:color="auto" w:fill="auto"/>
            <w:tcMar>
              <w:right w:w="227" w:type="dxa"/>
            </w:tcMar>
          </w:tcPr>
          <w:p w14:paraId="6D5F645F" w14:textId="63D9786F" w:rsidR="007A4FEF" w:rsidRPr="00E74EC2" w:rsidRDefault="007A4FEF" w:rsidP="0092718F">
            <w:pPr>
              <w:ind w:right="60"/>
              <w:jc w:val="right"/>
              <w:rPr>
                <w:rFonts w:ascii="Arial" w:hAnsi="Arial" w:cs="Arial"/>
                <w:b/>
                <w:sz w:val="18"/>
                <w:szCs w:val="18"/>
                <w:lang w:val="en-US"/>
              </w:rPr>
            </w:pPr>
            <w:r w:rsidRPr="00E74EC2">
              <w:rPr>
                <w:rFonts w:ascii="Arial" w:hAnsi="Arial" w:cs="Arial"/>
                <w:b/>
                <w:sz w:val="18"/>
                <w:szCs w:val="18"/>
                <w:lang w:val="en-US"/>
              </w:rPr>
              <w:t>RSI HRS</w:t>
            </w:r>
          </w:p>
          <w:p w14:paraId="63802714" w14:textId="37B0C5D1" w:rsidR="000F0C66" w:rsidRDefault="001B5258" w:rsidP="0092718F">
            <w:pPr>
              <w:ind w:right="201"/>
              <w:jc w:val="right"/>
              <w:rPr>
                <w:rFonts w:ascii="Arial" w:hAnsi="Arial" w:cs="Arial"/>
                <w:bCs/>
                <w:lang w:val="en-US"/>
              </w:rPr>
            </w:pPr>
            <w:r>
              <w:rPr>
                <w:rFonts w:ascii="Arial" w:hAnsi="Arial" w:cs="Arial"/>
                <w:bCs/>
                <w:noProof/>
                <w:sz w:val="18"/>
                <w:szCs w:val="18"/>
                <w:lang w:val="en-US"/>
              </w:rPr>
              <w:t>430</w:t>
            </w:r>
          </w:p>
        </w:tc>
      </w:tr>
    </w:tbl>
    <w:p w14:paraId="670D43CD" w14:textId="77777777" w:rsidR="007D0A6A" w:rsidRDefault="007D0A6A">
      <w:pPr>
        <w:rPr>
          <w:rFonts w:ascii="Arial" w:hAnsi="Arial" w:cs="Arial"/>
          <w:bCs/>
          <w:lang w:val="en-US"/>
        </w:rPr>
      </w:pPr>
    </w:p>
    <w:p w14:paraId="448F9145"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