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Teacher Aide I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25-9042.00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0657HY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Helps maintain the established safe, caring, inclusive, and healthy learning environment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Interact with students according to their individual learning styles and developmental periods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the learning environment is culturally responsive to adults from various backgrounds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evidence-based decisions to support each student based on their developmental needs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Take cues from students when they are unwell or need help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Acclimate students to the school environment so the transition between home and school is smooth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 safe and enriching class environment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Provides support in the daily planning and implementation of intentional and developmentally, culturally, and linguistically appropriate learning experiences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other educators in the development, implementation, and continuous improvement of lifelong adult higher special education learning activities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other staff members to incorporate reflective observation and feedback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 methods for an age-appropriate balance of individual, small group, and whole group activities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and follow workplace guidelines, methodologies, and safety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toward implementing learning activities that allow students of all backgrounds to feel included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Observes, assesses, and reports to the lead teacher on students’ individual learning needs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and support each student’s unique variations to better support curriculum and instruction experiences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use different types of student learning support skills in the moment accurately and ethically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 students’ developmental and academic progress by assisting with ideas for planning next steps of learning opportunities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Develops reciprocal, culturally responsive relationships with families and communities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about the cultural backgrounds of students and take an interest in understanding their experiences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 parents and/or caregivers in the classroom to help them advance the student’s whole health, well-being, learning, and development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Respect and value parents and/or caregivers as the students’ first teachers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Advances and advocates for an equitable, diverse, and effective lifelong adult higher special education profession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and comply with company policies about inclusivity, anti-bias practices, and equity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Communicates effectively, sensitively, and confidentially with students, families, and colleagues of all backgrounds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Engage in reflective practice and continuous learning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Openly receive critique and feedback from peers and supervisors and improve own practice as appropriate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Engage in continuing professional development and reflective practice to improve own skills, practice, and subject knowledge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21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