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br/>
              <w:t> 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 and small apartment buildings and necessary</w:t>
              <w:br/>
              <w:t> pre-fabrication and preparation</w:t>
              <w:br/>
              <w:br/>
              <w:t> 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(must be supervised by competent instructor -</w:t>
              <w:br/>
              <w:t>specify) Provided by vendors, manufacturers, and other industry experts as</w:t>
              <w:br/>
              <w:t>available, and as approved by the Committee.</w:t>
              <w:br/>
              <w:t>(X) Sponsor approved online or distance learning courses (only in excess of the required</w:t>
              <w:br/>
              <w:t> 144 minimum classroom hours-specify) Web-based and/or blended learning, as</w:t>
              <w:br/>
              <w:t>approved by the Committee.</w:t>
              <w:br/>
              <w:t>(X) Sponsor Provided (lab/classroom)</w:t>
              <w:br/>
              <w:t>(X) Other (specify): Inside Wireman – ETA Five-Year Inside Wireman</w:t>
              <w:br/>
              <w:t>Apprenticeship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