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Project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construction project activities to meet targets and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new or modified plans in response to delays, bad weather, or construction site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facility maintenance or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organize, or direct activities concerned with the routine maintenance and/or repair of building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Contract or oversee craft work, such as painting or plumbing.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 emergency repair of building structures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estimates, progress reports, and/or cost tracking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organizational information to customers or other stakeholders.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explain plans and contract terms to representatives of the owner or developer, including administrative staff, workers, 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project status updates to internal and external stakeholders on a routine basis.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project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supervisory personnel, owners, contractors, or design professionals to discuss and resolve matters, such as work procedures, complaints, or construction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job specifications to determine appropriate construction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submission reviews and comment at the SD, DD and CD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 with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or review projects to monitor compliance with building and safety codes or other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implement quality control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implement environmental protection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or review projects to monitor compliance with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supplies or materials to complete construction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labor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labor requirements for dispatching workers to construction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determine project feasibility.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Perform, or contract others to perform, pre-building assessments, such as conceptual cost estimating, rough order of magnitude estimating, feasibility, or energy efficiency, environmental, and sustainability assessments.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sustainable project costs and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LEED or equivalent sustainability programs, including potential costs, for project estimating and feasibility.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construction budgets to compare green and non-green construction alternatives, in terms of short-term costs, long-term costs, or environmental impacts.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green building strategies to reduce energy costs or minimize carbon output or other sources of harm to the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forecasting data to improve business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construction methods and determine cost-effectiveness of plans, using computer models.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a project audit to determine compliance and cost-effectiveness of a recently completed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