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POINTER, CAULKER &amp; CLEANER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ATP11-282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Ladders, Scaffolding and Platforms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layout of sidewalk detours.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 of ladders.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Selecting and using ropes, cables and knots.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Assembling, rigging and working on scaffolds and platforms (including sectional steel scaffold and “swing” or suspended scaffold).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Hoisting materials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Cleaning Masonry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use, care and maintenance of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 with water.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Sandblasting.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Chemical washing, protection of adjacent building fabric- use of “acid stop” liquid masking.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Etching.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Pressure cleaning.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 and applying poultices and hydrosilica.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Pointing Masonry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use, care and maintenance of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Removing deteriorated mortar as needed: hand methods, power tool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 mortar; matching composition and color of existing mortars.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Tuckpointing and striking joints.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packing.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Caulking and Grouting Masonry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use, care and maintenance of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Removing old caulking.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 and applying solvents and primers.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 and applying sealants (oil base, butyls, neoprenes, acrylics, polysulfides, urethanes, and silicones).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backer rods.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 and applying grouts: mask grouting, tape grouting.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Bagging.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Waterproofing; dampproofing; colorless water repellents.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Concrete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Removal and preparation.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 rebar; using primers for concrete and steel.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packing; preparing and applying epoxy and other non-sag patches.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Forming and pouring.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Shotcrete and gunite techniques (optional).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Masonry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removing decayed or damaged masonry elements.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Cutting, matching and patching all masonry materials (tile, stone, marble, stucco,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Reinforcing stone with dowels; epoxy injection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Brick and lintel replacement.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Stone repair and use of “Dutchman”.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Terra cotta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Cutting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Casting and molding.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exterior insulation.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Repairing, sealing, replacing terra cotta and stone roofing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Installing, repairing, replacing flashing.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Coating decks, including application of elastomeric coatings.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POINTER, CAULKER &amp; CLEANER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ATP11-282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and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