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&amp; Air Conditioning Mechanic &amp; Installer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electrical circuits or components for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operational compliance with regulations or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Interpret blueprints, specifications, or diagrams to inform installation, development or operation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customers or users to assess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heating, ventilation, or air conditioning (HVAC)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to ensure optimal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heating, ventilation or air-conditioning (HVAC) systems or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worn, damaged, or defective mechanical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others on issues related to repairs, installation, or equipment design.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systems to determine if they are operating properly.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worn, damaged, or defective mechanical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energy-efficient heating, ventilation, or air conditioning (HVAC)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Braze metal parts or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Connect electrical components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machine or equipment replacement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materials according to specifications or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distances or dimensions.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operational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repair or maintenance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Drill holes in parts, equipment, or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home appliances.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Travel to work sites to perform installation, repair or maintenance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repair, installation or maintenance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employees.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operational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 out work according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cranes, hoists, or other moving or lifting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mechanical systems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&amp; Air Conditioning Mechanic &amp; Installer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30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110 Introduction to Refrigeration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112 Residential Air Conditioning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118 Electricity as it Applies to HVAC/R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119 Sheet Metal for HVAC/R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120 Residential Furnaces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121 Heat Pumps and Geothermal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122 Residential Hydronic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139 Residential Systems Installation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211 Residential Equipment Design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213 Residential Equipment Design Il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220 Balancing and Testing HVAC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219 Duct Fabrication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111 Residential and Commercial Wiring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131 Introduction to Basic Electricity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125 Construction Methods &amp; Materials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710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