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Fetal Echo Ultrasound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29-2032.00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0000</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Core Clinical On-the-Job Learning Competencies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 appropriately with the patient, physicians and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pertinent clinical questions and the goal of the examination.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Recognize significant clinical information and historical facts from the patient and the medical records, which may impact the diagnostic examination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data from current and previous examinations to produce a written/oral summary of technical findings, including relevant interval changes, for the reporting physician’s reference.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the correct transducer type and frequency for examination(s) being performed.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instrument controls including examination presets, scale size, focal zone(s), overall gain, time gain compensation, and frame rate to optimize image quality.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and understanding of Doppler ultrasound principles, spectral analysis, and color flow imaging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and understanding of anatomy, physiology, pathology and pathophysiology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perform sonographic examinations of the appropriate organs and areas of interest according to professional and employing institution protocols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Recognize, identify and document the abnormal sonographic patterns of disease processes, pathology, and pathophysiology of the organs and areas of interest. Modify the scanning protocol based on the sonographic findings and the differential diagnosis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related measurements from sonographic images or data.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appropriate examination recording devices to obtain pertinent documentation of examination findings.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Fetal Echocardiography Specialization On-the-Job Learning Competencies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Interact appropriately with the patient, physicians and staff.</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Identify the pertinent clinical questions and the goal of the examination.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Recognize significant clinical information and historical facts from the patient and the medical records, which may impact the diagnostic examination</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Review data from current and previous examinations to produce a written/oral summary of technical findings, including relevant interval changes, for the reporting physician’s reference.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Select the correct transducer type and frequency for examination(s) being performed.</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Adjust instrument controls including examination presets, scale size, focal zone(s), overall gain, time gain compensation, and frame rate to optimize image quality.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and understanding of Doppler ultrasound principles, spectral analysis, and color flow imaging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knowledge and understanding of anatomy, physiology, pathology and pathophysiology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Demonstrate the ability to perform sonographic examinations of the appropriate organs and areas of interest according to professional and employing institution protocols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Recognize, identify and document the abnormal sonographic patterns of disease processes, pathology, and pathophysiology of the organs and areas of interest.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Modify the scanning protocol based on the sonographic findings and the differential diagnosis relevant to and in the FE specialty.</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Perform related measurements from sonographic images or data.</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Utilize appropriate examination recording devices to obtain pertinent documentation of examination findings.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25</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