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Residential Carpenter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47-2031.01</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0564HY</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Tools and Materials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Safety</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Rough Carpentry</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1.6K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Exterior Finish</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Interior Finish</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950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0</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3.9K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Residential Carpenter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47-2031.01</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0564HY</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 to Tools / Demo</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Hands-on experience with essential construction tools, focusing on safety, usage, and maintenance. Ideal for beginners to create foundational skills for entry-level construction roles.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Carpentry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Essential construction skills, including hand and power tool usage, framing, measuring, and blueprint reading. Through hands-on projects and safety training, participants gain the foundational knowledge needed for entry-level carpentry work.</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Drywall Hanging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Students learn how to measure, cut, and install drywall with precision and safety. Practical, hands-on experience to prepare for entry-level positions in construction and drywall installation.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Employer Engagement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Equip participants with essential skills for successful job searching, including resume building, effective job search strategies, and interview preparation. Through interactive workshops and practical exercises, students will enhance their employability and confidence in navigating the job market.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Drywall Finishing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Basics of taping, mudding, and sanding drywall for a smooth finish. Students gain hands-on experience with tools and techniques used in residential and commercial drywall applications.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Window Replacement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Fundamentals of removing, measuring, and installing various types of residential windows. Students receive hands-on training in proper sealing, flashing, and safety techniques to ensure energy-efficient and secure installations.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Trim / Siding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Hands-on training in installing exterior siding and finish trim on residential structures. Students learn to measure, cut, and fasten materials while following industry standards for durability and appearance.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Lead Abatement + State Exam</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Comprehensive training on identifying and eliminating lead-based paint hazards in residential and child-occupied facilities. Participants will learn essential abatement procedures, including site preparation, project management, abatement implementation, and record-keeping, preparing them for the state certification exam.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36</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250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