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with Culturally and Linguistically Diverse (CLD) Education Added Endorsement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school climate/culture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