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Medical/Hospital In-Patient Coder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29-2071.00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2029CB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Diagnostic Imaging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Ability to utilize health information management systems as related to coding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Gain encoding proficiency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Proficiency in using grouping software in order to accurately determine reimbursement rates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Emergency Room Coding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Ability to utilize both coding books and 3M coders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OGCC – outpatient clinic coding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Observation Coding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Surgery outpatient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Inpatient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3K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Medical/Hospital In-Patient Coder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29-2071.00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2029CB</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 Terminology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Focus on medical terminology: students learn to articulate concepts of body systems, components within individual systems, and relationships between systems including the terminology of body systems relevant to disease, diagnostic and therapeutic tests, and procedures.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Computer Fundamentals and Applications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 introduction to computers and their use in information processing. Use computer programs such as word processing, spreadsheets, and data base management, as well as Internet applications.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Anatomy and Physiology/Human Biology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organization of the human body, the definition of the terminology used to describe the location and function of anatomical structures, the outline of the basic chemical concepts essential for understanding physiological processes.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Pathophysiology/Pharmacology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Combination of the study of human disease processes and treatments. Discussion of etiology and pathogenesis of diseases along with the application of diagnostic procedures and patient care. Includes pathology and underlying principles of the human systems along with characteristics of typical drugs, side effects, cautions, and interactions.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Reimbursement/Revenue Cycle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Payment systems, including those for inpatient and ambulatory care settings, as well as those for psychiatric, hospice, and home health services.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Legal and Ethical Issues and Compliance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Legal principles and terminology, as well as health records as legal documents, administration of the law, legal aspects of healthcare facilities, medical staff organization, privacy, and security.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Health Information Management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Introduction to the health information management field and opportunities available for students after graduation. Presents an evolutionary view of health information systems. Professional ethics and exposure to current issues impacting the field are included.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Coding Classification/Clinical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historical development of classification systems for documenting diagnoses and procedures. Application of current and future coding systems as well as coding clinical guidelines for diseases and procedures. Both inpatient and outpatient systems will be reviewed. Compliance and ethics are stressed in each lesson.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Diagnosis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 depth study of diagnosis coding using the International Classification of Diseases (ICD) classification system.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Procedure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 in depth study of procedural coding using the International Classification of Diseases (ICD) classification system and the Current Procedural Terminology (CPT) system.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Intermediate and advanced study of International Classification of Diseases (ICD) classification systems, the Current Procedure Terminology (CPT) system, and HCPCS Level II classification systems. Students will demonstrate mastery of coding conventions, coding principles, and official inpatient and outpatient guidelines using case studies.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Coding Capstone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Students use the skills they have learned in diagnostic and procedural coding and apply it to experiential learning through virtual and/or field-based coding practice (to be demonstrated through project work).</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400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