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GENERAL INSURANCE ASSOCIATE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43-9041.00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0574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Facilitate claims processing for policyholders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features, advantages, and disadvantages of various policies to promote sale of insurance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administrative tasks, such as maintaining records and handling policy renewals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 out new clients and develop clientele by networking to find customers and generate lists of prospective clients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1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Facilitate claims processing for policyholders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Customize insurance programs to suit individual customers, often covering a</w:t>
              <w:br/>
              <w:t>variety of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Sell various types of insurance policies to businesses and individuals on behalf of insurance companies, including automobile, fire, life, property, medical, and dental insurance, or specialized policies such as marine, farm/crop, and medical malpractice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2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Support underwriting activities and risk management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interactions with new or existing customers, guide them through the underwriting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Support underwriting activities and risk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facts or information needed to assess policy coverage and risk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cases to underwriters when a change in policy or circumstances is determined to fall outside of usual conditions but may still be insurable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Detect fraud and report to special investigators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Communicate well with customers and team members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and maintain courteous client relationships with prospective and existing policyholders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customers about policies, including availability, eligibility, policy changes, transfers, claim processing, billing, and decisions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clearly with colleagues to support decision-making and the overall efforts of the team and organization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Conduct operational and processing tasks with order, accuracy, and diligence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Input and maintain detailed and up- to-date claim files with data and analysis of coverage, damages, incident reports, correspondence, and related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submitted claims, bills, reports, and estimates for accuracy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4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Conduct operational and processing tasks with order, accuracy, and diligence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data within the prescribed sequence and execute prompt processing of claims, documentation,</w:t>
              <w:br/>
              <w:t>and payments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Comply with internal and external standards and requirements for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all material representation to ensure accuracy of any necessary measurement data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Ensure compliance with standards and policies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Comply with company’s standards and customer service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 up to date with company’s policy rules and any implemented changes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training from employer to stay current on legal and regulatory changes in the industry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